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2B36" w14:textId="2BDFB1D7" w:rsidR="00236F39" w:rsidRDefault="00236F39" w:rsidP="00236F39">
      <w:pPr>
        <w:pStyle w:val="NoSpacing"/>
        <w:jc w:val="center"/>
        <w:rPr>
          <w:b/>
          <w:bCs/>
        </w:rPr>
      </w:pPr>
      <w:r w:rsidRPr="00236F39">
        <w:rPr>
          <w:b/>
          <w:bCs/>
        </w:rPr>
        <w:t>PAYCHECK PROTECTION PROGRAM SECOND DRAW LOANS</w:t>
      </w:r>
    </w:p>
    <w:p w14:paraId="3FB64458" w14:textId="77777777" w:rsidR="00236F39" w:rsidRPr="00236F39" w:rsidRDefault="00236F39" w:rsidP="00236F39">
      <w:pPr>
        <w:pStyle w:val="NoSpacing"/>
        <w:jc w:val="center"/>
        <w:rPr>
          <w:b/>
          <w:bCs/>
        </w:rPr>
      </w:pPr>
    </w:p>
    <w:p w14:paraId="069D70A7" w14:textId="1C0B84EB" w:rsidR="00236F39" w:rsidRDefault="00236F39" w:rsidP="00236F39">
      <w:pPr>
        <w:pStyle w:val="NoSpacing"/>
      </w:pPr>
      <w:r>
        <w:t>The Paycheck Protection Program (PPP) now allows certain eligible borrowers that previously</w:t>
      </w:r>
      <w:r>
        <w:t xml:space="preserve"> </w:t>
      </w:r>
      <w:r>
        <w:t>received a PPP loan to apply for a Second Draw PPP Loan with the same general loan terms as</w:t>
      </w:r>
      <w:r>
        <w:t xml:space="preserve"> </w:t>
      </w:r>
      <w:r>
        <w:t>their First Draw PPP Loan. Second Draw PPP Loans can be used to help fund payroll costs,</w:t>
      </w:r>
      <w:r>
        <w:t xml:space="preserve"> </w:t>
      </w:r>
      <w:r>
        <w:t>including benefits. Funds can also be used to pay for mortgage interest, rent, utilities, worker</w:t>
      </w:r>
      <w:r>
        <w:t xml:space="preserve"> </w:t>
      </w:r>
      <w:r>
        <w:t>protection costs related to COVID-19, uninsured property damage costs caused by looting or</w:t>
      </w:r>
      <w:r>
        <w:t xml:space="preserve"> </w:t>
      </w:r>
      <w:r>
        <w:t>vandalism during 2020, and certain supplier costs and expenses for operations.</w:t>
      </w:r>
    </w:p>
    <w:p w14:paraId="4B27D604" w14:textId="77777777" w:rsidR="00E72DB7" w:rsidRDefault="00E72DB7" w:rsidP="00236F39">
      <w:pPr>
        <w:pStyle w:val="NoSpacing"/>
        <w:jc w:val="center"/>
        <w:rPr>
          <w:b/>
          <w:bCs/>
        </w:rPr>
      </w:pPr>
    </w:p>
    <w:p w14:paraId="60F77874" w14:textId="69D5D3B6" w:rsidR="00236F39" w:rsidRPr="00236F39" w:rsidRDefault="00236F39" w:rsidP="00236F39">
      <w:pPr>
        <w:pStyle w:val="NoSpacing"/>
        <w:jc w:val="center"/>
        <w:rPr>
          <w:b/>
          <w:bCs/>
        </w:rPr>
      </w:pPr>
      <w:r w:rsidRPr="00236F39">
        <w:rPr>
          <w:b/>
          <w:bCs/>
        </w:rPr>
        <w:t>Full Forgiveness Terms</w:t>
      </w:r>
    </w:p>
    <w:p w14:paraId="5298360A" w14:textId="51A11A4E" w:rsidR="00236F39" w:rsidRDefault="00236F39" w:rsidP="00236F39">
      <w:pPr>
        <w:pStyle w:val="NoSpacing"/>
      </w:pPr>
      <w:r>
        <w:t>Second Draw PPP Loans made to eligible borrowers qualify for full loan forgiveness if during</w:t>
      </w:r>
      <w:r>
        <w:t xml:space="preserve"> </w:t>
      </w:r>
      <w:r>
        <w:t>the 8- to 24-week covered period following loan disbursement:</w:t>
      </w:r>
    </w:p>
    <w:p w14:paraId="17278963" w14:textId="06F7E734" w:rsidR="00236F39" w:rsidRDefault="00236F39" w:rsidP="00236F39">
      <w:pPr>
        <w:pStyle w:val="NoSpacing"/>
      </w:pPr>
      <w:r>
        <w:t>• Employee and compensation levels are maintained in the same manner as required for the</w:t>
      </w:r>
      <w:r>
        <w:t xml:space="preserve"> </w:t>
      </w:r>
      <w:r>
        <w:t xml:space="preserve">First Draw PPP </w:t>
      </w:r>
      <w:proofErr w:type="gramStart"/>
      <w:r>
        <w:t>loan;</w:t>
      </w:r>
      <w:proofErr w:type="gramEnd"/>
    </w:p>
    <w:p w14:paraId="62CE5063" w14:textId="77777777" w:rsidR="00236F39" w:rsidRDefault="00236F39" w:rsidP="00236F39">
      <w:pPr>
        <w:pStyle w:val="NoSpacing"/>
      </w:pPr>
      <w:r>
        <w:t>• The loan proceeds are spent on payroll costs and other eligible expenses; and</w:t>
      </w:r>
    </w:p>
    <w:p w14:paraId="1FEED35D" w14:textId="6F6D5D9A" w:rsidR="00236F39" w:rsidRDefault="00236F39" w:rsidP="00236F39">
      <w:pPr>
        <w:pStyle w:val="NoSpacing"/>
      </w:pPr>
      <w:r>
        <w:t>• At least 60 percent of the proceeds are spent on payroll costs.</w:t>
      </w:r>
    </w:p>
    <w:p w14:paraId="51ACC120" w14:textId="77777777" w:rsidR="00236F39" w:rsidRDefault="00236F39" w:rsidP="00236F39">
      <w:pPr>
        <w:pStyle w:val="NoSpacing"/>
      </w:pPr>
    </w:p>
    <w:p w14:paraId="282F51C1" w14:textId="77777777" w:rsidR="00236F39" w:rsidRPr="00236F39" w:rsidRDefault="00236F39" w:rsidP="00236F39">
      <w:pPr>
        <w:pStyle w:val="NoSpacing"/>
        <w:jc w:val="center"/>
        <w:rPr>
          <w:b/>
          <w:bCs/>
        </w:rPr>
      </w:pPr>
      <w:r w:rsidRPr="00236F39">
        <w:rPr>
          <w:b/>
          <w:bCs/>
        </w:rPr>
        <w:t>Targeted Eligibility</w:t>
      </w:r>
    </w:p>
    <w:p w14:paraId="3A603114" w14:textId="77777777" w:rsidR="00236F39" w:rsidRDefault="00236F39" w:rsidP="00236F39">
      <w:pPr>
        <w:pStyle w:val="NoSpacing"/>
      </w:pPr>
      <w:r>
        <w:t>A borrower is generally eligible for a Second Draw PPP Loan if the borrower:</w:t>
      </w:r>
    </w:p>
    <w:p w14:paraId="34265B30" w14:textId="4FEA6F4C" w:rsidR="00236F39" w:rsidRDefault="00236F39" w:rsidP="00236F39">
      <w:pPr>
        <w:pStyle w:val="NoSpacing"/>
      </w:pPr>
      <w:r>
        <w:t>• Previously received a First Draw PPP Loan and will</w:t>
      </w:r>
      <w:r w:rsidR="00E72DB7">
        <w:t>/</w:t>
      </w:r>
      <w:r>
        <w:t>has used the full amount only for</w:t>
      </w:r>
      <w:r>
        <w:t xml:space="preserve"> </w:t>
      </w:r>
      <w:r>
        <w:t xml:space="preserve">authorized </w:t>
      </w:r>
      <w:proofErr w:type="gramStart"/>
      <w:r>
        <w:t>uses;</w:t>
      </w:r>
      <w:proofErr w:type="gramEnd"/>
    </w:p>
    <w:p w14:paraId="3E85054C" w14:textId="77777777" w:rsidR="00236F39" w:rsidRDefault="00236F39" w:rsidP="00236F39">
      <w:pPr>
        <w:pStyle w:val="NoSpacing"/>
      </w:pPr>
      <w:r>
        <w:t>• Has no more than 300 employees; and</w:t>
      </w:r>
    </w:p>
    <w:p w14:paraId="11B1C83D" w14:textId="1CA9D24A" w:rsidR="00236F39" w:rsidRDefault="00236F39" w:rsidP="00236F39">
      <w:pPr>
        <w:pStyle w:val="NoSpacing"/>
      </w:pPr>
      <w:r>
        <w:t>• Can d</w:t>
      </w:r>
      <w:r w:rsidR="00E72DB7">
        <w:t>ocument</w:t>
      </w:r>
      <w:r>
        <w:t xml:space="preserve"> at least a 25% </w:t>
      </w:r>
      <w:r w:rsidR="00E72DB7">
        <w:t>decrease</w:t>
      </w:r>
      <w:r>
        <w:t xml:space="preserve"> in gross receipts between comparable quarters</w:t>
      </w:r>
      <w:r>
        <w:t xml:space="preserve"> </w:t>
      </w:r>
      <w:r>
        <w:t>in 2019</w:t>
      </w:r>
      <w:r w:rsidR="00E72DB7">
        <w:t xml:space="preserve"> &amp; </w:t>
      </w:r>
      <w:r>
        <w:t>2020.</w:t>
      </w:r>
    </w:p>
    <w:p w14:paraId="442E47C0" w14:textId="77777777" w:rsidR="00236F39" w:rsidRDefault="00236F39" w:rsidP="00236F39">
      <w:pPr>
        <w:pStyle w:val="NoSpacing"/>
      </w:pPr>
    </w:p>
    <w:p w14:paraId="0D05C459" w14:textId="3E370A2C" w:rsidR="00236F39" w:rsidRPr="00236F39" w:rsidRDefault="00236F39" w:rsidP="00236F39">
      <w:pPr>
        <w:pStyle w:val="NoSpacing"/>
        <w:jc w:val="center"/>
        <w:rPr>
          <w:b/>
          <w:bCs/>
        </w:rPr>
      </w:pPr>
      <w:r w:rsidRPr="00236F39">
        <w:rPr>
          <w:b/>
          <w:bCs/>
        </w:rPr>
        <w:t>Maximum Loan Amount and</w:t>
      </w:r>
      <w:r w:rsidRPr="00236F39">
        <w:rPr>
          <w:b/>
          <w:bCs/>
        </w:rPr>
        <w:t xml:space="preserve"> </w:t>
      </w:r>
      <w:r w:rsidRPr="00236F39">
        <w:rPr>
          <w:b/>
          <w:bCs/>
        </w:rPr>
        <w:t>Increased Assistance for Accommodation and Food Services Businesses</w:t>
      </w:r>
    </w:p>
    <w:p w14:paraId="6BEADFF8" w14:textId="5A6C4FAE" w:rsidR="00236F39" w:rsidRDefault="00236F39" w:rsidP="00236F39">
      <w:pPr>
        <w:pStyle w:val="NoSpacing"/>
      </w:pPr>
      <w:r>
        <w:t>For most borrowers, the maximum loan amount of a Second Draw PPP Loan is 2.5x average</w:t>
      </w:r>
      <w:r>
        <w:t xml:space="preserve"> </w:t>
      </w:r>
      <w:r>
        <w:t>monthly 2019 or 2020 payroll costs up to $2 million. For borrowers in the Accommodation and</w:t>
      </w:r>
      <w:r>
        <w:t xml:space="preserve"> </w:t>
      </w:r>
      <w:r>
        <w:t xml:space="preserve">Food Services sector (NAICS </w:t>
      </w:r>
      <w:r>
        <w:t xml:space="preserve">Code </w:t>
      </w:r>
      <w:r>
        <w:t>72</w:t>
      </w:r>
      <w:r>
        <w:t>)</w:t>
      </w:r>
      <w:r>
        <w:t>, the maximum loan amount for a</w:t>
      </w:r>
      <w:r>
        <w:t xml:space="preserve"> </w:t>
      </w:r>
      <w:r>
        <w:t>Second Draw PPP Loan is 3.5x average monthly 2019 or 2020 payroll costs up to $2 million.</w:t>
      </w:r>
      <w:r>
        <w:t xml:space="preserve"> </w:t>
      </w:r>
      <w:r>
        <w:t xml:space="preserve">Please note that for loan amount calculation purposes, </w:t>
      </w:r>
      <w:r>
        <w:t>a</w:t>
      </w:r>
      <w:r>
        <w:t xml:space="preserve">nnual compensation is capped at $100,000 per employee. </w:t>
      </w:r>
    </w:p>
    <w:p w14:paraId="274C2BE4" w14:textId="2C9F24FB" w:rsidR="00236F39" w:rsidRDefault="00236F39" w:rsidP="00236F39">
      <w:pPr>
        <w:pStyle w:val="NoSpacing"/>
      </w:pPr>
    </w:p>
    <w:p w14:paraId="303C8399" w14:textId="35BC6FD9" w:rsidR="00236F39" w:rsidRPr="00236F39" w:rsidRDefault="00236F39" w:rsidP="00236F39">
      <w:pPr>
        <w:pStyle w:val="NoSpacing"/>
        <w:jc w:val="center"/>
        <w:rPr>
          <w:b/>
          <w:bCs/>
        </w:rPr>
      </w:pPr>
      <w:r w:rsidRPr="00236F39">
        <w:rPr>
          <w:b/>
          <w:bCs/>
        </w:rPr>
        <w:t>How and When to Apply</w:t>
      </w:r>
    </w:p>
    <w:p w14:paraId="094FFF6A" w14:textId="5D064532" w:rsidR="00E72DB7" w:rsidRDefault="00236F39" w:rsidP="00E72DB7">
      <w:pPr>
        <w:pStyle w:val="NoSpacing"/>
      </w:pPr>
      <w:r>
        <w:t>Borrowers can apply for a Second Draw PPP Loan until March 31, 2021, through any existing</w:t>
      </w:r>
      <w:r>
        <w:t xml:space="preserve"> </w:t>
      </w:r>
      <w:r>
        <w:t>SBA 7(a) lender or through any federally insured depository institution, federally insured credit</w:t>
      </w:r>
      <w:r>
        <w:t xml:space="preserve"> </w:t>
      </w:r>
      <w:r>
        <w:t>union, eligible non-bank lender, or Farm Credit System institution that is participating in PPP.</w:t>
      </w:r>
      <w:r>
        <w:t xml:space="preserve"> </w:t>
      </w:r>
      <w:r>
        <w:t xml:space="preserve">All Second Draw PPP Loans will have the same terms regardless of lender or borrower. </w:t>
      </w:r>
    </w:p>
    <w:p w14:paraId="54997823" w14:textId="77777777" w:rsidR="00E72DB7" w:rsidRDefault="00E72DB7" w:rsidP="00E72DB7">
      <w:pPr>
        <w:pStyle w:val="NoSpacing"/>
      </w:pPr>
    </w:p>
    <w:p w14:paraId="427FB26A" w14:textId="3593FCA4" w:rsidR="00236F39" w:rsidRPr="00E72DB7" w:rsidRDefault="00236F39" w:rsidP="00E72DB7">
      <w:pPr>
        <w:pStyle w:val="NoSpacing"/>
        <w:jc w:val="center"/>
        <w:rPr>
          <w:rFonts w:eastAsia="Times New Roman"/>
          <w:b/>
          <w:bCs/>
          <w:sz w:val="24"/>
          <w:szCs w:val="24"/>
        </w:rPr>
      </w:pPr>
      <w:r w:rsidRPr="00E72DB7">
        <w:rPr>
          <w:rFonts w:ascii="Open Sans" w:eastAsia="Times New Roman" w:hAnsi="Open Sans"/>
          <w:b/>
          <w:bCs/>
          <w:sz w:val="24"/>
          <w:szCs w:val="24"/>
        </w:rPr>
        <w:t>PPP</w:t>
      </w:r>
      <w:r w:rsidRPr="00E72DB7">
        <w:rPr>
          <w:rFonts w:ascii="Open Sans" w:eastAsia="Times New Roman" w:hAnsi="Open Sans"/>
          <w:b/>
          <w:bCs/>
          <w:sz w:val="24"/>
          <w:szCs w:val="24"/>
        </w:rPr>
        <w:t xml:space="preserve"> Second Draw</w:t>
      </w:r>
      <w:r w:rsidRPr="00E72DB7">
        <w:rPr>
          <w:rFonts w:ascii="Open Sans" w:eastAsia="Times New Roman" w:hAnsi="Open Sans"/>
          <w:b/>
          <w:bCs/>
          <w:sz w:val="24"/>
          <w:szCs w:val="24"/>
        </w:rPr>
        <w:t xml:space="preserve"> Borrowers</w:t>
      </w:r>
    </w:p>
    <w:tbl>
      <w:tblPr>
        <w:tblW w:w="0" w:type="auto"/>
        <w:tblCellSpacing w:w="15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6954"/>
      </w:tblGrid>
      <w:tr w:rsidR="00236F39" w14:paraId="2C70E801" w14:textId="77777777" w:rsidTr="00236F39">
        <w:trPr>
          <w:tblCellSpacing w:w="15" w:type="dxa"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C67B2" w14:textId="4B103308" w:rsidR="00236F39" w:rsidRPr="00236F39" w:rsidRDefault="00236F39">
            <w:pPr>
              <w:pStyle w:val="NormalWeb"/>
              <w:rPr>
                <w:sz w:val="22"/>
                <w:szCs w:val="22"/>
              </w:rPr>
            </w:pPr>
            <w:r w:rsidRPr="00236F39">
              <w:rPr>
                <w:rFonts w:ascii="Open Sans" w:hAnsi="Open Sans"/>
                <w:b/>
                <w:bCs/>
                <w:sz w:val="22"/>
                <w:szCs w:val="22"/>
              </w:rPr>
              <w:t>Max Loan Amount &amp; Term</w:t>
            </w:r>
            <w:r w:rsidRPr="00236F39">
              <w:rPr>
                <w:rFonts w:ascii="Open Sans" w:hAnsi="Open Sans"/>
                <w:b/>
                <w:bCs/>
                <w:sz w:val="22"/>
                <w:szCs w:val="22"/>
              </w:rPr>
              <w:t>s</w:t>
            </w:r>
            <w:r w:rsidRPr="00236F39">
              <w:rPr>
                <w:rFonts w:ascii="Open Sans" w:hAnsi="Open San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2F3AE" w14:textId="77777777" w:rsidR="00236F39" w:rsidRPr="00236F39" w:rsidRDefault="00236F39" w:rsidP="00236F39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236F39">
              <w:rPr>
                <w:rFonts w:ascii="Open Sans" w:eastAsia="Times New Roman" w:hAnsi="Open Sans"/>
                <w:sz w:val="22"/>
                <w:szCs w:val="22"/>
              </w:rPr>
              <w:t xml:space="preserve">Up to $2,000,000 </w:t>
            </w:r>
          </w:p>
          <w:p w14:paraId="73B44007" w14:textId="77777777" w:rsidR="00236F39" w:rsidRPr="00236F39" w:rsidRDefault="00236F39" w:rsidP="00236F39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236F39">
              <w:rPr>
                <w:rFonts w:ascii="Open Sans" w:eastAsia="Times New Roman" w:hAnsi="Open Sans"/>
                <w:sz w:val="22"/>
                <w:szCs w:val="22"/>
              </w:rPr>
              <w:t>Max 5-year term</w:t>
            </w:r>
          </w:p>
          <w:p w14:paraId="26DAF9DE" w14:textId="77777777" w:rsidR="00236F39" w:rsidRPr="00236F39" w:rsidRDefault="00236F39" w:rsidP="00236F39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236F39">
              <w:rPr>
                <w:rFonts w:ascii="Open Sans" w:eastAsia="Times New Roman" w:hAnsi="Open Sans"/>
                <w:sz w:val="22"/>
                <w:szCs w:val="22"/>
              </w:rPr>
              <w:t>Interest rate 1.0% APR</w:t>
            </w:r>
          </w:p>
          <w:p w14:paraId="5439D8A0" w14:textId="124AD01D" w:rsidR="00236F39" w:rsidRPr="00236F39" w:rsidRDefault="00236F39" w:rsidP="00236F39">
            <w:pPr>
              <w:pStyle w:val="xmsonormal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236F39">
              <w:rPr>
                <w:rFonts w:ascii="Open Sans" w:eastAsia="Times New Roman" w:hAnsi="Open Sans"/>
                <w:sz w:val="22"/>
                <w:szCs w:val="22"/>
              </w:rPr>
              <w:t xml:space="preserve">First payment not due until borrower has applied for and received a forgiveness </w:t>
            </w:r>
            <w:proofErr w:type="gramStart"/>
            <w:r w:rsidRPr="00236F39">
              <w:rPr>
                <w:rFonts w:ascii="Open Sans" w:eastAsia="Times New Roman" w:hAnsi="Open Sans"/>
                <w:sz w:val="22"/>
                <w:szCs w:val="22"/>
              </w:rPr>
              <w:t>determination</w:t>
            </w:r>
            <w:proofErr w:type="gramEnd"/>
          </w:p>
          <w:p w14:paraId="607966FD" w14:textId="77777777" w:rsidR="00236F39" w:rsidRPr="00236F39" w:rsidRDefault="00236F39">
            <w:pPr>
              <w:pStyle w:val="NormalWeb"/>
              <w:rPr>
                <w:sz w:val="22"/>
                <w:szCs w:val="22"/>
              </w:rPr>
            </w:pPr>
            <w:r w:rsidRPr="00236F39">
              <w:rPr>
                <w:rFonts w:ascii="Open Sans" w:hAnsi="Open Sans"/>
                <w:i/>
                <w:iCs/>
                <w:sz w:val="22"/>
                <w:szCs w:val="22"/>
              </w:rPr>
              <w:t xml:space="preserve">Loan amount is based on payroll expenses </w:t>
            </w:r>
          </w:p>
        </w:tc>
      </w:tr>
    </w:tbl>
    <w:p w14:paraId="11ED84EB" w14:textId="77777777" w:rsidR="00236F39" w:rsidRPr="00236F39" w:rsidRDefault="00236F39" w:rsidP="00E72DB7">
      <w:pPr>
        <w:pStyle w:val="NoSpacing"/>
      </w:pPr>
    </w:p>
    <w:sectPr w:rsidR="00236F39" w:rsidRPr="0023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BC6E" w14:textId="77777777" w:rsidR="00E72DB7" w:rsidRDefault="00E72DB7" w:rsidP="00E72DB7">
      <w:r>
        <w:separator/>
      </w:r>
    </w:p>
  </w:endnote>
  <w:endnote w:type="continuationSeparator" w:id="0">
    <w:p w14:paraId="385F9212" w14:textId="77777777" w:rsidR="00E72DB7" w:rsidRDefault="00E72DB7" w:rsidP="00E7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A1C8" w14:textId="77777777" w:rsidR="00E72DB7" w:rsidRDefault="00E72DB7" w:rsidP="00E72DB7">
      <w:r>
        <w:separator/>
      </w:r>
    </w:p>
  </w:footnote>
  <w:footnote w:type="continuationSeparator" w:id="0">
    <w:p w14:paraId="0D5EC033" w14:textId="77777777" w:rsidR="00E72DB7" w:rsidRDefault="00E72DB7" w:rsidP="00E7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78B"/>
    <w:multiLevelType w:val="multilevel"/>
    <w:tmpl w:val="0E3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B6298"/>
    <w:multiLevelType w:val="multilevel"/>
    <w:tmpl w:val="77F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39"/>
    <w:rsid w:val="00236F39"/>
    <w:rsid w:val="00694D1F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A80E"/>
  <w15:chartTrackingRefBased/>
  <w15:docId w15:val="{86A7BCCE-0541-4D5A-8A99-B8F3DA33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3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6F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F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6F3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6F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236F3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2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22F2-328C-4CFA-B387-722039DD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PPP Second Draw Borrowers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Kidwell</dc:creator>
  <cp:keywords/>
  <dc:description/>
  <cp:lastModifiedBy>Greg Kidwell</cp:lastModifiedBy>
  <cp:revision>1</cp:revision>
  <dcterms:created xsi:type="dcterms:W3CDTF">2021-01-09T17:12:00Z</dcterms:created>
  <dcterms:modified xsi:type="dcterms:W3CDTF">2021-01-09T17:27:00Z</dcterms:modified>
</cp:coreProperties>
</file>